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1C" w:rsidRPr="00A2101C" w:rsidRDefault="00A2101C" w:rsidP="00A2101C">
      <w:pPr>
        <w:widowControl/>
        <w:wordWrap/>
        <w:autoSpaceDE/>
        <w:autoSpaceDN/>
        <w:spacing w:after="120" w:line="384" w:lineRule="auto"/>
        <w:jc w:val="left"/>
        <w:rPr>
          <w:rFonts w:ascii="Arial" w:eastAsia="굴림" w:hAnsi="Arial" w:cs="Arial"/>
          <w:b/>
          <w:color w:val="000000"/>
          <w:kern w:val="0"/>
          <w:sz w:val="28"/>
          <w:szCs w:val="20"/>
        </w:rPr>
      </w:pPr>
      <w:r w:rsidRPr="00A2101C">
        <w:rPr>
          <w:rFonts w:ascii="Arial" w:eastAsia="굴림" w:hAnsi="Arial" w:cs="Arial"/>
          <w:b/>
          <w:color w:val="000000"/>
          <w:kern w:val="0"/>
          <w:sz w:val="28"/>
          <w:szCs w:val="20"/>
        </w:rPr>
        <w:t>&lt;New strategies for target-specific drug activation&gt;</w:t>
      </w:r>
    </w:p>
    <w:p w:rsidR="00A2101C" w:rsidRPr="00A2101C" w:rsidRDefault="00A2101C" w:rsidP="00A2101C">
      <w:pPr>
        <w:widowControl/>
        <w:wordWrap/>
        <w:autoSpaceDE/>
        <w:autoSpaceDN/>
        <w:spacing w:after="100" w:line="384" w:lineRule="auto"/>
        <w:jc w:val="left"/>
        <w:rPr>
          <w:rFonts w:ascii="Arial" w:eastAsia="굴림" w:hAnsi="Arial" w:cs="Arial"/>
          <w:color w:val="000000"/>
          <w:kern w:val="0"/>
          <w:szCs w:val="20"/>
        </w:rPr>
      </w:pPr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Survival and proliferation of cancer cells are often associated with hyperactivity of the serine/threonine kinase,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. Herein, we show that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prosurvival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activity of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can be converted into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prodeath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activity by embedding an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recognition sequence in the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apoptogenic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BH3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domain of human BIM. The recognition sequence was created by introducing two mutations,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I155R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and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E158S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, into the core region of the BIM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BH3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domain. Although a 21-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mer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BIM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BH3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peptide containing these two mutations bound weakly to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BCL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-XL and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BCL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>-2, thi</w:t>
      </w:r>
      <w:bookmarkStart w:id="0" w:name="_GoBack"/>
      <w:bookmarkEnd w:id="0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s peptide with phosphorylation of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Ser158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bound to these proteins with a dissociation constant of &lt;10 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nM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. The crystal structure of the phosphorylated peptide bound to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BCL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-XL revealed that the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phospho-Ser158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makes favorable interactions with two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BCL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-XL residues, which cannot be formed with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unphosphorylated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Ser158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. Remarkably, the designed peptide showed a cytotoxic effect on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PTEN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-null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PC3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tumor cells whose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activity is aberrantly high. The cell-killing activity disappeared when the cellular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activity was lowered by ectopic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PTEN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expression. Thus, these results lay a foundation for developing a peptide or protein agent that is dormant in normal cells but is transformed into a potent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apoptogenic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molecule upon phosphorylation by hyperactivity of </w:t>
      </w:r>
      <w:proofErr w:type="spellStart"/>
      <w:r w:rsidRPr="00A2101C">
        <w:rPr>
          <w:rFonts w:ascii="Arial" w:eastAsia="굴림" w:hAnsi="Arial" w:cs="Arial"/>
          <w:color w:val="000000"/>
          <w:kern w:val="0"/>
          <w:szCs w:val="20"/>
        </w:rPr>
        <w:t>Akt</w:t>
      </w:r>
      <w:proofErr w:type="spellEnd"/>
      <w:r w:rsidRPr="00A2101C">
        <w:rPr>
          <w:rFonts w:ascii="Arial" w:eastAsia="굴림" w:hAnsi="Arial" w:cs="Arial"/>
          <w:color w:val="000000"/>
          <w:kern w:val="0"/>
          <w:szCs w:val="20"/>
        </w:rPr>
        <w:t xml:space="preserve"> in cancer cells. </w:t>
      </w:r>
    </w:p>
    <w:p w:rsidR="00AB5D2B" w:rsidRDefault="00A2101C"/>
    <w:sectPr w:rsidR="00AB5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24"/>
    <w:rsid w:val="00284E1A"/>
    <w:rsid w:val="00615E24"/>
    <w:rsid w:val="0091275E"/>
    <w:rsid w:val="00A2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652">
                      <w:marLeft w:val="0"/>
                      <w:marRight w:val="0"/>
                      <w:marTop w:val="24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9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2016-04-06T01:52:00Z</dcterms:created>
  <dcterms:modified xsi:type="dcterms:W3CDTF">2016-04-06T01:52:00Z</dcterms:modified>
</cp:coreProperties>
</file>