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CA7" w:rsidRDefault="00746CA7" w:rsidP="00C17690">
      <w:pPr>
        <w:wordWrap/>
        <w:adjustRightInd w:val="0"/>
        <w:spacing w:after="0" w:line="240" w:lineRule="auto"/>
        <w:jc w:val="left"/>
        <w:rPr>
          <w:rFonts w:ascii="굴림" w:eastAsia="굴림" w:hAnsi="굴림" w:cs="NanumGothic" w:hint="eastAsia"/>
          <w:kern w:val="0"/>
          <w:sz w:val="24"/>
          <w:szCs w:val="24"/>
        </w:rPr>
      </w:pPr>
    </w:p>
    <w:p w:rsidR="00C17690" w:rsidRPr="00C17690" w:rsidRDefault="00746CA7" w:rsidP="00C17690">
      <w:pPr>
        <w:wordWrap/>
        <w:adjustRightInd w:val="0"/>
        <w:spacing w:after="0" w:line="240" w:lineRule="auto"/>
        <w:jc w:val="left"/>
        <w:rPr>
          <w:rFonts w:ascii="굴림" w:eastAsia="굴림" w:hAnsi="굴림" w:cs="NanumGothic"/>
          <w:kern w:val="0"/>
          <w:sz w:val="24"/>
          <w:szCs w:val="24"/>
        </w:rPr>
      </w:pPr>
      <w:r>
        <w:rPr>
          <w:rFonts w:ascii="굴림" w:eastAsia="굴림" w:hAnsi="굴림" w:cs="NanumGothic"/>
          <w:kern w:val="0"/>
          <w:sz w:val="24"/>
          <w:szCs w:val="24"/>
        </w:rPr>
        <w:t>Abstract</w:t>
      </w:r>
      <w:bookmarkStart w:id="0" w:name="_GoBack"/>
      <w:bookmarkEnd w:id="0"/>
    </w:p>
    <w:p w:rsidR="00746CA7" w:rsidRDefault="00746CA7" w:rsidP="00C17690">
      <w:pPr>
        <w:wordWrap/>
        <w:adjustRightInd w:val="0"/>
        <w:spacing w:after="0" w:line="240" w:lineRule="auto"/>
        <w:jc w:val="left"/>
        <w:rPr>
          <w:rFonts w:ascii="굴림" w:eastAsia="굴림" w:hAnsi="굴림" w:cs="NanumGothic" w:hint="eastAsia"/>
          <w:kern w:val="0"/>
          <w:sz w:val="24"/>
          <w:szCs w:val="24"/>
        </w:rPr>
      </w:pPr>
    </w:p>
    <w:p w:rsidR="00C17690" w:rsidRPr="00C17690" w:rsidRDefault="00C17690" w:rsidP="00C17690">
      <w:pPr>
        <w:wordWrap/>
        <w:adjustRightInd w:val="0"/>
        <w:spacing w:after="0" w:line="240" w:lineRule="auto"/>
        <w:jc w:val="left"/>
        <w:rPr>
          <w:rFonts w:ascii="굴림" w:eastAsia="굴림" w:hAnsi="굴림" w:cs="NanumGothic"/>
          <w:kern w:val="0"/>
          <w:sz w:val="24"/>
          <w:szCs w:val="24"/>
        </w:rPr>
      </w:pPr>
      <w:r>
        <w:rPr>
          <w:rFonts w:ascii="굴림" w:eastAsia="굴림" w:hAnsi="굴림" w:cs="NanumGothic"/>
          <w:kern w:val="0"/>
          <w:sz w:val="24"/>
          <w:szCs w:val="24"/>
        </w:rPr>
        <w:t>Naïve</w:t>
      </w:r>
      <w:r w:rsidR="003602EB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proofErr w:type="spellStart"/>
      <w:r w:rsidRPr="00C17690">
        <w:rPr>
          <w:rFonts w:ascii="굴림" w:eastAsia="굴림" w:hAnsi="굴림" w:cs="NanumGothic"/>
          <w:kern w:val="0"/>
          <w:sz w:val="24"/>
          <w:szCs w:val="24"/>
        </w:rPr>
        <w:t>CD4</w:t>
      </w:r>
      <w:proofErr w:type="spellEnd"/>
      <w:r w:rsidR="003602EB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T</w:t>
      </w:r>
      <w:r w:rsidR="003602EB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cells</w:t>
      </w:r>
      <w:r w:rsidR="003602EB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differentiate</w:t>
      </w:r>
      <w:r w:rsidR="003602EB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into</w:t>
      </w:r>
      <w:r w:rsidR="003602EB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several</w:t>
      </w:r>
      <w:r w:rsidR="003602EB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effector</w:t>
      </w:r>
      <w:r w:rsidR="003602EB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lineages,</w:t>
      </w:r>
      <w:r w:rsidR="003602EB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which</w:t>
      </w:r>
      <w:r w:rsidR="003602EB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generate</w:t>
      </w:r>
      <w:r w:rsidR="003602EB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a</w:t>
      </w:r>
      <w:r w:rsidR="003602EB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stronger</w:t>
      </w:r>
      <w:r w:rsidR="003602EB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and</w:t>
      </w:r>
      <w:r w:rsidR="003602EB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more</w:t>
      </w:r>
      <w:r w:rsidR="003602EB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rapid</w:t>
      </w:r>
      <w:r w:rsidR="003602EB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response</w:t>
      </w:r>
      <w:r w:rsidR="003602EB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to</w:t>
      </w:r>
      <w:r w:rsidR="003602EB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previously</w:t>
      </w:r>
      <w:r w:rsidR="003602EB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encountered</w:t>
      </w:r>
      <w:r w:rsidR="003602EB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immunological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</w:p>
    <w:p w:rsidR="00C17690" w:rsidRPr="00C17690" w:rsidRDefault="00C17690" w:rsidP="00C17690">
      <w:pPr>
        <w:wordWrap/>
        <w:adjustRightInd w:val="0"/>
        <w:spacing w:after="0" w:line="240" w:lineRule="auto"/>
        <w:jc w:val="left"/>
        <w:rPr>
          <w:rFonts w:ascii="굴림" w:eastAsia="굴림" w:hAnsi="굴림" w:cs="NanumGothic"/>
          <w:kern w:val="0"/>
          <w:sz w:val="24"/>
          <w:szCs w:val="24"/>
        </w:rPr>
      </w:pPr>
      <w:proofErr w:type="gramStart"/>
      <w:r w:rsidRPr="00C17690">
        <w:rPr>
          <w:rFonts w:ascii="굴림" w:eastAsia="굴림" w:hAnsi="굴림" w:cs="NanumGothic"/>
          <w:kern w:val="0"/>
          <w:sz w:val="24"/>
          <w:szCs w:val="24"/>
        </w:rPr>
        <w:t>challenges</w:t>
      </w:r>
      <w:proofErr w:type="gramEnd"/>
      <w:r w:rsidRPr="00C17690">
        <w:rPr>
          <w:rFonts w:ascii="굴림" w:eastAsia="굴림" w:hAnsi="굴림" w:cs="NanumGothic"/>
          <w:kern w:val="0"/>
          <w:sz w:val="24"/>
          <w:szCs w:val="24"/>
        </w:rPr>
        <w:t>.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Although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effector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function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is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a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key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feature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of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adaptive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immunity,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the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</w:p>
    <w:p w:rsidR="00C17690" w:rsidRPr="00C17690" w:rsidRDefault="00C17690" w:rsidP="00C17690">
      <w:pPr>
        <w:wordWrap/>
        <w:adjustRightInd w:val="0"/>
        <w:spacing w:after="0" w:line="240" w:lineRule="auto"/>
        <w:jc w:val="left"/>
        <w:rPr>
          <w:rFonts w:ascii="굴림" w:eastAsia="굴림" w:hAnsi="굴림" w:cs="NanumGothic"/>
          <w:kern w:val="0"/>
          <w:sz w:val="24"/>
          <w:szCs w:val="24"/>
        </w:rPr>
      </w:pPr>
      <w:proofErr w:type="gramStart"/>
      <w:r w:rsidRPr="00C17690">
        <w:rPr>
          <w:rFonts w:ascii="굴림" w:eastAsia="굴림" w:hAnsi="굴림" w:cs="NanumGothic"/>
          <w:kern w:val="0"/>
          <w:sz w:val="24"/>
          <w:szCs w:val="24"/>
        </w:rPr>
        <w:t>molecular</w:t>
      </w:r>
      <w:proofErr w:type="gramEnd"/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basis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of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this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process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is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poorly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understood.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Here,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we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investigated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the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</w:p>
    <w:p w:rsidR="00AB5D2B" w:rsidRPr="00C17690" w:rsidRDefault="00C17690" w:rsidP="00746CA7">
      <w:pPr>
        <w:wordWrap/>
        <w:adjustRightInd w:val="0"/>
        <w:spacing w:after="0" w:line="240" w:lineRule="auto"/>
        <w:jc w:val="left"/>
        <w:rPr>
          <w:rFonts w:ascii="굴림" w:eastAsia="굴림" w:hAnsi="굴림"/>
        </w:rPr>
      </w:pPr>
      <w:proofErr w:type="gramStart"/>
      <w:r w:rsidRPr="00C17690">
        <w:rPr>
          <w:rFonts w:ascii="굴림" w:eastAsia="굴림" w:hAnsi="굴림" w:cs="NanumGothic"/>
          <w:kern w:val="0"/>
          <w:sz w:val="24"/>
          <w:szCs w:val="24"/>
        </w:rPr>
        <w:t>spatiotemporal</w:t>
      </w:r>
      <w:proofErr w:type="gramEnd"/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regulation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of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cytokine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gene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expression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in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resting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and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proofErr w:type="spellStart"/>
      <w:r w:rsidRPr="00C17690">
        <w:rPr>
          <w:rFonts w:ascii="굴림" w:eastAsia="굴림" w:hAnsi="굴림" w:cs="NanumGothic"/>
          <w:kern w:val="0"/>
          <w:sz w:val="24"/>
          <w:szCs w:val="24"/>
        </w:rPr>
        <w:t>restimulated</w:t>
      </w:r>
      <w:proofErr w:type="spellEnd"/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effector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T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helper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1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(</w:t>
      </w:r>
      <w:proofErr w:type="spellStart"/>
      <w:r w:rsidRPr="00C17690">
        <w:rPr>
          <w:rFonts w:ascii="굴림" w:eastAsia="굴림" w:hAnsi="굴림" w:cs="NanumGothic"/>
          <w:kern w:val="0"/>
          <w:sz w:val="24"/>
          <w:szCs w:val="24"/>
        </w:rPr>
        <w:t>Th1</w:t>
      </w:r>
      <w:proofErr w:type="spellEnd"/>
      <w:r w:rsidRPr="00C17690">
        <w:rPr>
          <w:rFonts w:ascii="굴림" w:eastAsia="굴림" w:hAnsi="굴림" w:cs="NanumGothic"/>
          <w:kern w:val="0"/>
          <w:sz w:val="24"/>
          <w:szCs w:val="24"/>
        </w:rPr>
        <w:t>)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cells.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We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found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that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the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proofErr w:type="spellStart"/>
      <w:r w:rsidRPr="00C17690">
        <w:rPr>
          <w:rFonts w:ascii="굴림" w:eastAsia="굴림" w:hAnsi="굴림" w:cs="NanumGothic"/>
          <w:kern w:val="0"/>
          <w:sz w:val="24"/>
          <w:szCs w:val="24"/>
        </w:rPr>
        <w:t>Lymphotoxin</w:t>
      </w:r>
      <w:proofErr w:type="spellEnd"/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(LT)/</w:t>
      </w:r>
      <w:proofErr w:type="spellStart"/>
      <w:r w:rsidRPr="00C17690">
        <w:rPr>
          <w:rFonts w:ascii="굴림" w:eastAsia="굴림" w:hAnsi="굴림" w:cs="NanumGothic"/>
          <w:kern w:val="0"/>
          <w:sz w:val="24"/>
          <w:szCs w:val="24"/>
        </w:rPr>
        <w:t>TNF</w:t>
      </w:r>
      <w:proofErr w:type="spellEnd"/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alleles,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which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encode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proofErr w:type="spellStart"/>
      <w:r w:rsidRPr="00C17690">
        <w:rPr>
          <w:rFonts w:ascii="굴림" w:eastAsia="굴림" w:hAnsi="굴림" w:cs="NanumGothic"/>
          <w:kern w:val="0"/>
          <w:sz w:val="24"/>
          <w:szCs w:val="24"/>
        </w:rPr>
        <w:t>TNF</w:t>
      </w:r>
      <w:proofErr w:type="spellEnd"/>
      <w:r w:rsidRPr="00C17690">
        <w:rPr>
          <w:rFonts w:ascii="굴림" w:eastAsia="굴림" w:hAnsi="굴림" w:cs="NanumGothic"/>
          <w:kern w:val="0"/>
          <w:sz w:val="24"/>
          <w:szCs w:val="24"/>
        </w:rPr>
        <w:t>-</w:t>
      </w:r>
      <w:r w:rsidRPr="00C17690">
        <w:rPr>
          <w:rFonts w:ascii="굴림" w:eastAsia="굴림" w:hAnsi="굴림" w:cs="NanumGothic" w:hint="eastAsia"/>
          <w:kern w:val="0"/>
          <w:sz w:val="24"/>
          <w:szCs w:val="24"/>
        </w:rPr>
        <w:t>α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,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were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closely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juxtaposed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shortly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after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T-cell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receptor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(</w:t>
      </w:r>
      <w:proofErr w:type="spellStart"/>
      <w:r w:rsidRPr="00C17690">
        <w:rPr>
          <w:rFonts w:ascii="굴림" w:eastAsia="굴림" w:hAnsi="굴림" w:cs="NanumGothic"/>
          <w:kern w:val="0"/>
          <w:sz w:val="24"/>
          <w:szCs w:val="24"/>
        </w:rPr>
        <w:t>TCR</w:t>
      </w:r>
      <w:proofErr w:type="spellEnd"/>
      <w:r w:rsidRPr="00C17690">
        <w:rPr>
          <w:rFonts w:ascii="굴림" w:eastAsia="굴림" w:hAnsi="굴림" w:cs="NanumGothic"/>
          <w:kern w:val="0"/>
          <w:sz w:val="24"/>
          <w:szCs w:val="24"/>
        </w:rPr>
        <w:t>)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engagement,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when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transcription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factors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are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limiting.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Allelic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pairing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required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a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nuclear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myosin,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myosin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VI,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which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is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rapidly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recruited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to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the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LT/</w:t>
      </w:r>
      <w:proofErr w:type="spellStart"/>
      <w:r w:rsidRPr="00C17690">
        <w:rPr>
          <w:rFonts w:ascii="굴림" w:eastAsia="굴림" w:hAnsi="굴림" w:cs="NanumGothic"/>
          <w:kern w:val="0"/>
          <w:sz w:val="24"/>
          <w:szCs w:val="24"/>
        </w:rPr>
        <w:t>TNF</w:t>
      </w:r>
      <w:proofErr w:type="spellEnd"/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locus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upon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proofErr w:type="spellStart"/>
      <w:r w:rsidRPr="00C17690">
        <w:rPr>
          <w:rFonts w:ascii="굴림" w:eastAsia="굴림" w:hAnsi="굴림" w:cs="NanumGothic"/>
          <w:kern w:val="0"/>
          <w:sz w:val="24"/>
          <w:szCs w:val="24"/>
        </w:rPr>
        <w:t>restimulation</w:t>
      </w:r>
      <w:proofErr w:type="spellEnd"/>
      <w:r w:rsidRPr="00C17690">
        <w:rPr>
          <w:rFonts w:ascii="굴림" w:eastAsia="굴림" w:hAnsi="굴림" w:cs="NanumGothic"/>
          <w:kern w:val="0"/>
          <w:sz w:val="24"/>
          <w:szCs w:val="24"/>
        </w:rPr>
        <w:t>.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Furthermore,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transcription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was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paused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at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the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proofErr w:type="spellStart"/>
      <w:r w:rsidRPr="00C17690">
        <w:rPr>
          <w:rFonts w:ascii="굴림" w:eastAsia="굴림" w:hAnsi="굴림" w:cs="NanumGothic"/>
          <w:kern w:val="0"/>
          <w:sz w:val="24"/>
          <w:szCs w:val="24"/>
        </w:rPr>
        <w:t>TNF</w:t>
      </w:r>
      <w:proofErr w:type="spellEnd"/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locus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and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other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related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genes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in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resting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proofErr w:type="spellStart"/>
      <w:r w:rsidRPr="00C17690">
        <w:rPr>
          <w:rFonts w:ascii="굴림" w:eastAsia="굴림" w:hAnsi="굴림" w:cs="NanumGothic"/>
          <w:kern w:val="0"/>
          <w:sz w:val="24"/>
          <w:szCs w:val="24"/>
        </w:rPr>
        <w:t>Th1</w:t>
      </w:r>
      <w:proofErr w:type="spellEnd"/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cells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and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released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in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a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myosin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VI-dependent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manner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following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activation.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We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propose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that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homologous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pairing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and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myosin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VI-mediated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transcriptional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pause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release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account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for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the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rapid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and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efficient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expression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of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genes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induced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by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an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external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 xml:space="preserve"> </w:t>
      </w:r>
      <w:r w:rsidRPr="00C17690">
        <w:rPr>
          <w:rFonts w:ascii="굴림" w:eastAsia="굴림" w:hAnsi="굴림" w:cs="NanumGothic"/>
          <w:kern w:val="0"/>
          <w:sz w:val="24"/>
          <w:szCs w:val="24"/>
        </w:rPr>
        <w:t>stimulus</w:t>
      </w:r>
      <w:r w:rsidR="00746CA7">
        <w:rPr>
          <w:rFonts w:ascii="굴림" w:eastAsia="굴림" w:hAnsi="굴림" w:cs="NanumGothic" w:hint="eastAsia"/>
          <w:kern w:val="0"/>
          <w:sz w:val="24"/>
          <w:szCs w:val="24"/>
        </w:rPr>
        <w:t>.</w:t>
      </w:r>
    </w:p>
    <w:sectPr w:rsidR="00AB5D2B" w:rsidRPr="00C1769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Gothic">
    <w:altName w:val="가는안상수체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67A"/>
    <w:rsid w:val="00284E1A"/>
    <w:rsid w:val="003602EB"/>
    <w:rsid w:val="00746CA7"/>
    <w:rsid w:val="0091275E"/>
    <w:rsid w:val="00C17690"/>
    <w:rsid w:val="00EC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2016-03-09T07:08:00Z</dcterms:created>
  <dcterms:modified xsi:type="dcterms:W3CDTF">2016-03-09T07:58:00Z</dcterms:modified>
</cp:coreProperties>
</file>