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957" w:rsidRDefault="00D30957" w:rsidP="000552E2">
      <w:pPr>
        <w:pStyle w:val="a3"/>
        <w:spacing w:before="0" w:beforeAutospacing="0" w:after="120" w:afterAutospacing="0" w:line="360" w:lineRule="auto"/>
        <w:jc w:val="center"/>
        <w:rPr>
          <w:rFonts w:ascii="Arial" w:eastAsia="Arial Unicode MS" w:hAnsi="Arial" w:cs="Arial"/>
          <w:sz w:val="22"/>
          <w:szCs w:val="22"/>
        </w:rPr>
      </w:pPr>
      <w:r w:rsidRPr="00800A97">
        <w:rPr>
          <w:rFonts w:ascii="Arial" w:hAnsi="Arial" w:cs="Arial"/>
          <w:bCs/>
          <w:color w:val="000000"/>
          <w:kern w:val="36"/>
          <w:szCs w:val="20"/>
          <w:lang w:val="en"/>
        </w:rPr>
        <w:t>Tumor Microenvironment</w:t>
      </w:r>
      <w:r>
        <w:rPr>
          <w:rFonts w:ascii="Arial" w:hAnsi="Arial" w:cs="Arial"/>
          <w:bCs/>
          <w:color w:val="000000"/>
          <w:kern w:val="36"/>
          <w:szCs w:val="20"/>
          <w:lang w:val="en"/>
        </w:rPr>
        <w:t>: A</w:t>
      </w:r>
      <w:r>
        <w:rPr>
          <w:rFonts w:ascii="Arial" w:hAnsi="Arial" w:cs="Arial" w:hint="eastAsia"/>
          <w:bCs/>
          <w:color w:val="000000"/>
          <w:kern w:val="36"/>
          <w:szCs w:val="20"/>
          <w:lang w:val="en"/>
        </w:rPr>
        <w:t xml:space="preserve"> </w:t>
      </w:r>
      <w:r>
        <w:rPr>
          <w:rFonts w:ascii="Arial" w:hAnsi="Arial" w:cs="Arial"/>
          <w:bCs/>
          <w:color w:val="000000"/>
          <w:kern w:val="36"/>
          <w:szCs w:val="20"/>
          <w:lang w:val="en"/>
        </w:rPr>
        <w:t>N</w:t>
      </w:r>
      <w:r>
        <w:rPr>
          <w:rFonts w:ascii="Arial" w:hAnsi="Arial" w:cs="Arial" w:hint="eastAsia"/>
          <w:bCs/>
          <w:color w:val="000000"/>
          <w:kern w:val="36"/>
          <w:szCs w:val="20"/>
          <w:lang w:val="en"/>
        </w:rPr>
        <w:t xml:space="preserve">ew </w:t>
      </w:r>
      <w:r>
        <w:rPr>
          <w:rFonts w:ascii="Arial" w:hAnsi="Arial" w:cs="Arial"/>
          <w:bCs/>
          <w:color w:val="000000"/>
          <w:kern w:val="36"/>
          <w:szCs w:val="20"/>
          <w:lang w:val="en"/>
        </w:rPr>
        <w:t xml:space="preserve">Treatment Target to overcome </w:t>
      </w:r>
      <w:r w:rsidRPr="00800A97">
        <w:rPr>
          <w:rFonts w:ascii="Arial" w:eastAsia="Arial Unicode MS" w:hAnsi="Arial" w:cs="Arial"/>
          <w:szCs w:val="20"/>
        </w:rPr>
        <w:t xml:space="preserve">Resistance to </w:t>
      </w:r>
      <w:r w:rsidRPr="00800A97">
        <w:rPr>
          <w:rFonts w:ascii="Arial" w:eastAsia="Arial Unicode MS" w:hAnsi="Arial" w:cs="Arial"/>
          <w:sz w:val="22"/>
        </w:rPr>
        <w:t>Anticancer Therapy</w:t>
      </w:r>
      <w:r w:rsidRPr="00EF7C42">
        <w:rPr>
          <w:rFonts w:ascii="Arial" w:eastAsia="Arial Unicode MS" w:hAnsi="Arial" w:cs="Arial"/>
          <w:sz w:val="22"/>
          <w:szCs w:val="22"/>
        </w:rPr>
        <w:t xml:space="preserve"> </w:t>
      </w:r>
    </w:p>
    <w:p w:rsidR="00D30957" w:rsidRDefault="00D30957" w:rsidP="000552E2">
      <w:pPr>
        <w:pStyle w:val="a3"/>
        <w:spacing w:before="0" w:beforeAutospacing="0" w:after="120" w:afterAutospacing="0" w:line="360" w:lineRule="auto"/>
        <w:jc w:val="center"/>
        <w:rPr>
          <w:rFonts w:ascii="Arial" w:eastAsia="Arial Unicode MS" w:hAnsi="Arial" w:cs="Arial"/>
          <w:sz w:val="22"/>
          <w:szCs w:val="22"/>
        </w:rPr>
      </w:pPr>
    </w:p>
    <w:p w:rsidR="00D5287B" w:rsidRPr="00EF7C42" w:rsidRDefault="00D5287B" w:rsidP="000552E2">
      <w:pPr>
        <w:pStyle w:val="a3"/>
        <w:spacing w:before="0" w:beforeAutospacing="0" w:after="120" w:afterAutospacing="0" w:line="360" w:lineRule="auto"/>
        <w:jc w:val="center"/>
        <w:rPr>
          <w:sz w:val="22"/>
          <w:szCs w:val="22"/>
        </w:rPr>
      </w:pPr>
      <w:bookmarkStart w:id="0" w:name="_GoBack"/>
      <w:bookmarkEnd w:id="0"/>
      <w:r w:rsidRPr="00EF7C42">
        <w:rPr>
          <w:rFonts w:ascii="Arial" w:eastAsia="Arial Unicode MS" w:hAnsi="Arial" w:cs="Arial"/>
          <w:sz w:val="22"/>
          <w:szCs w:val="22"/>
        </w:rPr>
        <w:t>Ho-Young Lee</w:t>
      </w:r>
    </w:p>
    <w:p w:rsidR="00D5287B" w:rsidRDefault="00D5287B" w:rsidP="000552E2">
      <w:pPr>
        <w:pStyle w:val="a3"/>
        <w:adjustRightInd w:val="0"/>
        <w:spacing w:before="0" w:beforeAutospacing="0" w:after="120" w:afterAutospacing="0" w:line="360" w:lineRule="auto"/>
        <w:jc w:val="center"/>
        <w:rPr>
          <w:rFonts w:ascii="Arial" w:eastAsia="Arial Unicode MS" w:hAnsi="Arial" w:cs="Arial"/>
          <w:sz w:val="22"/>
          <w:szCs w:val="22"/>
        </w:rPr>
      </w:pPr>
      <w:r w:rsidRPr="00EF7C42">
        <w:rPr>
          <w:rFonts w:ascii="Arial" w:eastAsia="Arial Unicode MS" w:hAnsi="Arial" w:cs="Arial"/>
          <w:sz w:val="22"/>
          <w:szCs w:val="22"/>
        </w:rPr>
        <w:t xml:space="preserve">College of Pharmacy, Seoul National University, Seoul, </w:t>
      </w:r>
      <w:r w:rsidR="00EF7C42">
        <w:rPr>
          <w:rFonts w:ascii="Arial" w:eastAsia="Arial Unicode MS" w:hAnsi="Arial" w:cs="Arial"/>
          <w:sz w:val="22"/>
          <w:szCs w:val="22"/>
        </w:rPr>
        <w:t xml:space="preserve">Republic of </w:t>
      </w:r>
      <w:r w:rsidRPr="00EF7C42">
        <w:rPr>
          <w:rFonts w:ascii="Arial" w:eastAsia="Arial Unicode MS" w:hAnsi="Arial" w:cs="Arial"/>
          <w:sz w:val="22"/>
          <w:szCs w:val="22"/>
        </w:rPr>
        <w:t>Korea</w:t>
      </w:r>
    </w:p>
    <w:p w:rsidR="00EF7C42" w:rsidRPr="00EF7C42" w:rsidRDefault="00EF7C42" w:rsidP="00EF7C42">
      <w:pPr>
        <w:pStyle w:val="a3"/>
        <w:adjustRightInd w:val="0"/>
        <w:spacing w:before="0" w:beforeAutospacing="0" w:after="120" w:afterAutospacing="0" w:line="360" w:lineRule="auto"/>
        <w:jc w:val="both"/>
        <w:rPr>
          <w:sz w:val="22"/>
          <w:szCs w:val="22"/>
        </w:rPr>
      </w:pPr>
    </w:p>
    <w:p w:rsidR="000552E2" w:rsidRDefault="004F2153" w:rsidP="00103565">
      <w:pPr>
        <w:spacing w:after="120" w:line="36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FE691E">
        <w:rPr>
          <w:rFonts w:ascii="Arial" w:hAnsi="Arial" w:cs="Arial"/>
          <w:sz w:val="22"/>
          <w:szCs w:val="21"/>
        </w:rPr>
        <w:t xml:space="preserve">Drug resistance is a major impediment in medical oncology. </w:t>
      </w:r>
      <w:r w:rsidR="00C91A3D" w:rsidRPr="000552E2">
        <w:rPr>
          <w:rFonts w:ascii="Arial" w:eastAsia="AdvOTea1a7398" w:hAnsi="Arial" w:cs="Arial"/>
          <w:sz w:val="22"/>
          <w:szCs w:val="22"/>
        </w:rPr>
        <w:t>Recent studies have emphasized</w:t>
      </w:r>
      <w:r w:rsidR="00C91A3D">
        <w:rPr>
          <w:rFonts w:ascii="Arial" w:eastAsia="AdvOTea1a7398" w:hAnsi="Arial" w:cs="Arial"/>
          <w:sz w:val="22"/>
          <w:szCs w:val="22"/>
        </w:rPr>
        <w:t xml:space="preserve"> the importance of the tumo</w:t>
      </w:r>
      <w:r w:rsidR="00C91A3D" w:rsidRPr="000552E2">
        <w:rPr>
          <w:rFonts w:ascii="Arial" w:eastAsia="AdvOTea1a7398" w:hAnsi="Arial" w:cs="Arial"/>
          <w:sz w:val="22"/>
          <w:szCs w:val="22"/>
        </w:rPr>
        <w:t>r microenviron</w:t>
      </w:r>
      <w:r w:rsidR="00C91A3D">
        <w:rPr>
          <w:rFonts w:ascii="Arial" w:eastAsia="AdvOTea1a7398" w:hAnsi="Arial" w:cs="Arial"/>
          <w:sz w:val="22"/>
          <w:szCs w:val="22"/>
        </w:rPr>
        <w:t>ment (TME) to innate resistance</w:t>
      </w:r>
      <w:r w:rsidR="00C91A3D" w:rsidRPr="000552E2">
        <w:rPr>
          <w:rFonts w:ascii="Arial" w:eastAsia="AdvOTea1a7398" w:hAnsi="Arial" w:cs="Arial"/>
          <w:sz w:val="22"/>
          <w:szCs w:val="22"/>
        </w:rPr>
        <w:t xml:space="preserve"> to molecular</w:t>
      </w:r>
      <w:r w:rsidR="00C91A3D">
        <w:rPr>
          <w:rFonts w:ascii="Arial" w:eastAsia="AdvOTea1a7398" w:hAnsi="Arial" w:cs="Arial"/>
          <w:sz w:val="22"/>
          <w:szCs w:val="22"/>
        </w:rPr>
        <w:t xml:space="preserve"> targeted therapies. The type 1 insulin-like growth factor receptor (IGF-1R)-mediated signaling </w:t>
      </w:r>
      <w:r>
        <w:rPr>
          <w:rFonts w:ascii="Arial" w:eastAsia="AdvOTea1a7398" w:hAnsi="Arial" w:cs="Arial"/>
          <w:sz w:val="22"/>
          <w:szCs w:val="22"/>
        </w:rPr>
        <w:t xml:space="preserve">is known to be crucial for cell growth, survival and </w:t>
      </w:r>
      <w:r w:rsidR="00C91A3D">
        <w:rPr>
          <w:rFonts w:ascii="Arial" w:eastAsia="AdvOTea1a7398" w:hAnsi="Arial" w:cs="Arial"/>
          <w:sz w:val="22"/>
          <w:szCs w:val="22"/>
        </w:rPr>
        <w:t>h</w:t>
      </w:r>
      <w:r w:rsidR="00C91A3D">
        <w:rPr>
          <w:rFonts w:ascii="Arial" w:eastAsia="AdvOTea1a7398" w:hAnsi="Arial" w:cs="Arial" w:hint="eastAsia"/>
          <w:sz w:val="22"/>
          <w:szCs w:val="22"/>
        </w:rPr>
        <w:t xml:space="preserve">as been considered as an </w:t>
      </w:r>
      <w:r w:rsidR="00C91A3D">
        <w:rPr>
          <w:rFonts w:ascii="Arial" w:eastAsia="AdvOTea1a7398" w:hAnsi="Arial" w:cs="Arial"/>
          <w:sz w:val="22"/>
          <w:szCs w:val="22"/>
        </w:rPr>
        <w:t>attractive</w:t>
      </w:r>
      <w:r w:rsidR="00C91A3D">
        <w:rPr>
          <w:rFonts w:ascii="Arial" w:eastAsia="AdvOTea1a7398" w:hAnsi="Arial" w:cs="Arial" w:hint="eastAsia"/>
          <w:sz w:val="22"/>
          <w:szCs w:val="22"/>
        </w:rPr>
        <w:t xml:space="preserve"> </w:t>
      </w:r>
      <w:r w:rsidR="00C91A3D">
        <w:rPr>
          <w:rFonts w:ascii="Arial" w:eastAsia="AdvOTea1a7398" w:hAnsi="Arial" w:cs="Arial"/>
          <w:sz w:val="22"/>
          <w:szCs w:val="22"/>
        </w:rPr>
        <w:t>target for developing molecularly targeted anticancer therapy. Several clinical trials</w:t>
      </w:r>
      <w:r>
        <w:rPr>
          <w:rFonts w:ascii="Arial" w:eastAsia="AdvOTea1a7398" w:hAnsi="Arial" w:cs="Arial"/>
          <w:sz w:val="22"/>
          <w:szCs w:val="22"/>
        </w:rPr>
        <w:t xml:space="preserve"> </w:t>
      </w:r>
      <w:r>
        <w:rPr>
          <w:rFonts w:ascii="Arial" w:eastAsia="AdvOTea1a7398" w:hAnsi="Arial" w:cs="Arial" w:hint="eastAsia"/>
          <w:sz w:val="22"/>
          <w:szCs w:val="22"/>
        </w:rPr>
        <w:t>have been conducted</w:t>
      </w:r>
      <w:r w:rsidR="00C91A3D">
        <w:rPr>
          <w:rFonts w:ascii="Arial" w:eastAsia="AdvOTea1a7398" w:hAnsi="Arial" w:cs="Arial"/>
          <w:sz w:val="22"/>
          <w:szCs w:val="22"/>
        </w:rPr>
        <w:t xml:space="preserve"> to evaluate the efficacy of</w:t>
      </w:r>
      <w:r>
        <w:rPr>
          <w:rFonts w:ascii="Arial" w:eastAsia="AdvOTea1a7398" w:hAnsi="Arial" w:cs="Arial"/>
          <w:sz w:val="22"/>
          <w:szCs w:val="22"/>
        </w:rPr>
        <w:t xml:space="preserve"> IGF-1R-targeted anticancer agent</w:t>
      </w:r>
      <w:r w:rsidR="00C91A3D">
        <w:rPr>
          <w:rFonts w:ascii="Arial" w:eastAsia="AdvOTea1a7398" w:hAnsi="Arial" w:cs="Arial"/>
          <w:sz w:val="22"/>
          <w:szCs w:val="22"/>
        </w:rPr>
        <w:t xml:space="preserve">s such as monoclonal antibodies (mAbs) and small molecule tyrosine kinase inhibitors (TKIs); </w:t>
      </w:r>
      <w:r w:rsidR="00103565" w:rsidRPr="00103565">
        <w:rPr>
          <w:rFonts w:ascii="Arial" w:eastAsia="Arial Unicode MS" w:hAnsi="Arial" w:cs="Arial"/>
          <w:sz w:val="22"/>
          <w:szCs w:val="22"/>
        </w:rPr>
        <w:t>however</w:t>
      </w:r>
      <w:r w:rsidR="000552E2">
        <w:rPr>
          <w:rFonts w:ascii="Arial" w:eastAsia="Arial Unicode MS" w:hAnsi="Arial" w:cs="Arial"/>
          <w:sz w:val="22"/>
          <w:szCs w:val="22"/>
        </w:rPr>
        <w:t>,</w:t>
      </w:r>
      <w:r>
        <w:rPr>
          <w:rFonts w:ascii="Arial" w:eastAsia="Arial Unicode MS" w:hAnsi="Arial" w:cs="Arial"/>
          <w:sz w:val="22"/>
          <w:szCs w:val="22"/>
        </w:rPr>
        <w:t xml:space="preserve"> most of these trials did not show clinical benefits and the further clinical development of many IGF-1R targeted drugs has halted. </w:t>
      </w:r>
      <w:r w:rsidR="00C91A3D">
        <w:rPr>
          <w:rFonts w:ascii="Arial" w:eastAsia="AdvOTea1a7398" w:hAnsi="Arial" w:cs="Arial"/>
          <w:sz w:val="22"/>
          <w:szCs w:val="22"/>
        </w:rPr>
        <w:t xml:space="preserve">Recently, we discovered a novel molecular mechanisms underlying </w:t>
      </w:r>
      <w:r w:rsidR="00C91A3D">
        <w:rPr>
          <w:rFonts w:ascii="Arial" w:eastAsia="Arial Unicode MS" w:hAnsi="Arial" w:cs="Arial"/>
          <w:sz w:val="22"/>
          <w:szCs w:val="22"/>
        </w:rPr>
        <w:t xml:space="preserve">resistance </w:t>
      </w:r>
      <w:r w:rsidR="00103565" w:rsidRPr="00103565">
        <w:rPr>
          <w:rFonts w:ascii="Arial" w:eastAsia="Arial Unicode MS" w:hAnsi="Arial" w:cs="Arial"/>
          <w:sz w:val="22"/>
          <w:szCs w:val="22"/>
        </w:rPr>
        <w:t xml:space="preserve">to </w:t>
      </w:r>
      <w:r w:rsidR="00C91A3D" w:rsidRPr="00103565">
        <w:rPr>
          <w:rFonts w:ascii="Arial" w:eastAsia="Arial Unicode MS" w:hAnsi="Arial" w:cs="Arial"/>
          <w:sz w:val="22"/>
          <w:szCs w:val="22"/>
        </w:rPr>
        <w:t>cixutumumab</w:t>
      </w:r>
      <w:r w:rsidR="00C91A3D">
        <w:rPr>
          <w:rFonts w:ascii="Arial" w:eastAsia="Arial Unicode MS" w:hAnsi="Arial" w:cs="Arial"/>
          <w:sz w:val="22"/>
          <w:szCs w:val="22"/>
        </w:rPr>
        <w:t xml:space="preserve">, </w:t>
      </w:r>
      <w:r w:rsidR="00C91A3D" w:rsidRPr="00103565">
        <w:rPr>
          <w:rFonts w:ascii="Arial" w:eastAsia="Arial Unicode MS" w:hAnsi="Arial" w:cs="Arial"/>
          <w:sz w:val="22"/>
          <w:szCs w:val="22"/>
        </w:rPr>
        <w:t>a fully humanized mAb against IGF-1R</w:t>
      </w:r>
      <w:r w:rsidR="00C91A3D">
        <w:rPr>
          <w:rFonts w:ascii="Arial" w:eastAsia="Arial Unicode MS" w:hAnsi="Arial" w:cs="Arial"/>
          <w:sz w:val="22"/>
          <w:szCs w:val="22"/>
        </w:rPr>
        <w:t>,</w:t>
      </w:r>
      <w:r w:rsidR="000552E2">
        <w:rPr>
          <w:rFonts w:ascii="Arial" w:eastAsia="Arial Unicode MS" w:hAnsi="Arial" w:cs="Arial"/>
          <w:sz w:val="22"/>
          <w:szCs w:val="22"/>
        </w:rPr>
        <w:t xml:space="preserve"> in relation to modulation of TME</w:t>
      </w:r>
      <w:r w:rsidR="00103565" w:rsidRPr="00103565">
        <w:rPr>
          <w:rFonts w:ascii="Arial" w:eastAsia="Arial Unicode MS" w:hAnsi="Arial" w:cs="Arial"/>
          <w:sz w:val="22"/>
          <w:szCs w:val="22"/>
        </w:rPr>
        <w:t>.</w:t>
      </w:r>
      <w:r w:rsidR="000552E2">
        <w:rPr>
          <w:rFonts w:ascii="Arial" w:eastAsia="Arial Unicode MS" w:hAnsi="Arial" w:cs="Arial"/>
          <w:sz w:val="22"/>
          <w:szCs w:val="22"/>
        </w:rPr>
        <w:t xml:space="preserve"> In </w:t>
      </w:r>
      <w:r w:rsidR="00103565" w:rsidRPr="00103565">
        <w:rPr>
          <w:rFonts w:ascii="Arial" w:eastAsia="Arial Unicode MS" w:hAnsi="Arial" w:cs="Arial"/>
          <w:sz w:val="22"/>
          <w:szCs w:val="22"/>
        </w:rPr>
        <w:t>orthotopic and subcutaneous tumor xenograft models using human non-small cell lung cancer (NSCLC) and breast cancer cells</w:t>
      </w:r>
      <w:r w:rsidR="000552E2">
        <w:rPr>
          <w:rFonts w:ascii="Arial" w:eastAsia="Arial Unicode MS" w:hAnsi="Arial" w:cs="Arial"/>
          <w:sz w:val="22"/>
          <w:szCs w:val="22"/>
        </w:rPr>
        <w:t>, we observed that c</w:t>
      </w:r>
      <w:r w:rsidR="000552E2" w:rsidRPr="00103565">
        <w:rPr>
          <w:rFonts w:ascii="Arial" w:eastAsia="Arial Unicode MS" w:hAnsi="Arial" w:cs="Arial"/>
          <w:sz w:val="22"/>
          <w:szCs w:val="22"/>
        </w:rPr>
        <w:t>ixutumumab treatment</w:t>
      </w:r>
      <w:r w:rsidR="000552E2">
        <w:rPr>
          <w:rFonts w:ascii="Arial" w:eastAsia="Arial Unicode MS" w:hAnsi="Arial" w:cs="Arial"/>
          <w:sz w:val="22"/>
          <w:szCs w:val="22"/>
        </w:rPr>
        <w:t xml:space="preserve"> displayed </w:t>
      </w:r>
      <w:r w:rsidR="000552E2" w:rsidRPr="00103565">
        <w:rPr>
          <w:rFonts w:ascii="Arial" w:eastAsia="Arial Unicode MS" w:hAnsi="Arial" w:cs="Arial"/>
          <w:sz w:val="22"/>
          <w:szCs w:val="22"/>
        </w:rPr>
        <w:t>either no change or increased tumor growth</w:t>
      </w:r>
      <w:r w:rsidR="000552E2">
        <w:rPr>
          <w:rFonts w:ascii="Arial" w:eastAsia="Arial Unicode MS" w:hAnsi="Arial" w:cs="Arial"/>
          <w:sz w:val="22"/>
          <w:szCs w:val="22"/>
        </w:rPr>
        <w:t xml:space="preserve"> with </w:t>
      </w:r>
      <w:r w:rsidR="000552E2" w:rsidRPr="00103565">
        <w:rPr>
          <w:rFonts w:ascii="Arial" w:eastAsia="Arial Unicode MS" w:hAnsi="Arial" w:cs="Arial"/>
          <w:sz w:val="22"/>
          <w:szCs w:val="22"/>
        </w:rPr>
        <w:t xml:space="preserve">recruitment of </w:t>
      </w:r>
      <w:r w:rsidR="000552E2">
        <w:rPr>
          <w:rFonts w:ascii="Arial" w:eastAsia="Arial Unicode MS" w:hAnsi="Arial" w:cs="Arial"/>
          <w:sz w:val="22"/>
          <w:szCs w:val="22"/>
        </w:rPr>
        <w:t xml:space="preserve">surrounding </w:t>
      </w:r>
      <w:r w:rsidR="000552E2" w:rsidRPr="00103565">
        <w:rPr>
          <w:rFonts w:ascii="Arial" w:eastAsia="Arial Unicode MS" w:hAnsi="Arial" w:cs="Arial"/>
          <w:sz w:val="22"/>
          <w:szCs w:val="22"/>
        </w:rPr>
        <w:t>stromal</w:t>
      </w:r>
      <w:r w:rsidR="000552E2">
        <w:rPr>
          <w:rFonts w:ascii="Arial" w:eastAsia="Arial Unicode MS" w:hAnsi="Arial" w:cs="Arial"/>
          <w:sz w:val="22"/>
          <w:szCs w:val="22"/>
        </w:rPr>
        <w:t xml:space="preserve"> cells, eventually leading to </w:t>
      </w:r>
      <w:r w:rsidR="000552E2" w:rsidRPr="00103565">
        <w:rPr>
          <w:rFonts w:ascii="Arial" w:eastAsia="Arial Unicode MS" w:hAnsi="Arial" w:cs="Arial"/>
          <w:sz w:val="22"/>
          <w:szCs w:val="22"/>
        </w:rPr>
        <w:t xml:space="preserve">decreased survival of </w:t>
      </w:r>
      <w:r w:rsidR="000552E2">
        <w:rPr>
          <w:rFonts w:ascii="Arial" w:eastAsia="Arial Unicode MS" w:hAnsi="Arial" w:cs="Arial"/>
          <w:sz w:val="22"/>
          <w:szCs w:val="22"/>
        </w:rPr>
        <w:t>mice. The metastatic tumor formation was confirmed in the o</w:t>
      </w:r>
      <w:r w:rsidR="00C91A3D">
        <w:rPr>
          <w:rFonts w:ascii="Arial" w:eastAsia="Arial Unicode MS" w:hAnsi="Arial" w:cs="Arial"/>
          <w:sz w:val="22"/>
          <w:szCs w:val="22"/>
        </w:rPr>
        <w:t>rthotopic xenograft model using humanized mice</w:t>
      </w:r>
      <w:r w:rsidR="000552E2">
        <w:rPr>
          <w:rFonts w:ascii="Arial" w:eastAsia="Arial Unicode MS" w:hAnsi="Arial" w:cs="Arial"/>
          <w:sz w:val="22"/>
          <w:szCs w:val="22"/>
        </w:rPr>
        <w:t xml:space="preserve">. Further studies demonstrated that cixutumumab treatment activated STAT3 and transcriptionally up-regulated </w:t>
      </w:r>
      <w:r w:rsidR="000552E2" w:rsidRPr="000552E2">
        <w:rPr>
          <w:rFonts w:ascii="Arial" w:eastAsia="Arial Unicode MS" w:hAnsi="Arial" w:cs="Arial"/>
          <w:i/>
          <w:sz w:val="22"/>
          <w:szCs w:val="22"/>
        </w:rPr>
        <w:t>IGF2</w:t>
      </w:r>
      <w:r w:rsidR="000552E2">
        <w:rPr>
          <w:rFonts w:ascii="Arial" w:eastAsia="Arial Unicode MS" w:hAnsi="Arial" w:cs="Arial"/>
          <w:sz w:val="22"/>
          <w:szCs w:val="22"/>
        </w:rPr>
        <w:t xml:space="preserve"> in cancer cells</w:t>
      </w:r>
      <w:r w:rsidR="00C91A3D">
        <w:rPr>
          <w:rFonts w:ascii="Arial" w:eastAsia="Arial Unicode MS" w:hAnsi="Arial" w:cs="Arial"/>
          <w:sz w:val="22"/>
          <w:szCs w:val="22"/>
        </w:rPr>
        <w:t xml:space="preserve">. </w:t>
      </w:r>
      <w:r w:rsidR="000552E2">
        <w:rPr>
          <w:rFonts w:ascii="Arial" w:eastAsia="Arial Unicode MS" w:hAnsi="Arial" w:cs="Arial"/>
          <w:sz w:val="22"/>
          <w:szCs w:val="22"/>
        </w:rPr>
        <w:t xml:space="preserve">IGF2 further mediated interaction with </w:t>
      </w:r>
      <w:r w:rsidR="004A4334">
        <w:rPr>
          <w:rFonts w:ascii="Arial" w:eastAsia="Arial Unicode MS" w:hAnsi="Arial" w:cs="Arial"/>
          <w:sz w:val="22"/>
          <w:szCs w:val="22"/>
        </w:rPr>
        <w:t>fibroblasts and monocytes via</w:t>
      </w:r>
      <w:r w:rsidR="00A43A5C">
        <w:rPr>
          <w:rFonts w:ascii="Arial" w:eastAsia="Arial Unicode MS" w:hAnsi="Arial" w:cs="Arial"/>
          <w:sz w:val="22"/>
          <w:szCs w:val="22"/>
        </w:rPr>
        <w:t xml:space="preserve"> IGF-2R</w:t>
      </w:r>
      <w:r w:rsidR="00C91A3D">
        <w:rPr>
          <w:rFonts w:ascii="Arial" w:eastAsia="Arial Unicode MS" w:hAnsi="Arial" w:cs="Arial"/>
          <w:sz w:val="22"/>
          <w:szCs w:val="22"/>
        </w:rPr>
        <w:t xml:space="preserve">, </w:t>
      </w:r>
      <w:r w:rsidR="00A43A5C">
        <w:rPr>
          <w:rFonts w:ascii="Arial" w:eastAsia="Arial Unicode MS" w:hAnsi="Arial" w:cs="Arial"/>
          <w:sz w:val="22"/>
          <w:szCs w:val="22"/>
        </w:rPr>
        <w:t>thereby inducing CXCL8 production</w:t>
      </w:r>
      <w:r w:rsidR="00C91A3D">
        <w:rPr>
          <w:rFonts w:ascii="Arial" w:eastAsia="Arial Unicode MS" w:hAnsi="Arial" w:cs="Arial"/>
          <w:sz w:val="22"/>
          <w:szCs w:val="22"/>
        </w:rPr>
        <w:t xml:space="preserve"> in these cells and eventually leading to recruitment of vascular endothelial cells, </w:t>
      </w:r>
      <w:r w:rsidR="004A4334">
        <w:rPr>
          <w:rFonts w:ascii="Arial" w:eastAsia="Arial Unicode MS" w:hAnsi="Arial" w:cs="Arial"/>
          <w:sz w:val="22"/>
          <w:szCs w:val="22"/>
        </w:rPr>
        <w:t>angiogenesis</w:t>
      </w:r>
      <w:r w:rsidR="00C91A3D">
        <w:rPr>
          <w:rFonts w:ascii="Arial" w:eastAsia="Arial Unicode MS" w:hAnsi="Arial" w:cs="Arial"/>
          <w:sz w:val="22"/>
          <w:szCs w:val="22"/>
        </w:rPr>
        <w:t>,</w:t>
      </w:r>
      <w:r w:rsidR="004A4334">
        <w:rPr>
          <w:rFonts w:ascii="Arial" w:eastAsia="Arial Unicode MS" w:hAnsi="Arial" w:cs="Arial"/>
          <w:sz w:val="22"/>
          <w:szCs w:val="22"/>
        </w:rPr>
        <w:t xml:space="preserve"> and metastasis. Silencing IGF2 or STAT3 expression in cancer cells or IGF-2R or CXCL8 expression in stromal cells significantly inhibited the cancer-stroma communication and angiogenesis. These results suggest that blocking the </w:t>
      </w:r>
      <w:r w:rsidR="004A4334" w:rsidRPr="00A43A5C">
        <w:rPr>
          <w:rFonts w:ascii="Arial" w:eastAsia="AdvOTea1a7398" w:hAnsi="Arial" w:cs="Arial"/>
          <w:color w:val="000000"/>
          <w:sz w:val="22"/>
          <w:szCs w:val="19"/>
        </w:rPr>
        <w:t>STAT3/IGF-2/IGF-2R intercellular</w:t>
      </w:r>
      <w:r w:rsidR="004A4334">
        <w:rPr>
          <w:rFonts w:ascii="Arial" w:eastAsia="AdvOTea1a7398" w:hAnsi="Arial" w:cs="Arial"/>
          <w:color w:val="000000"/>
          <w:sz w:val="22"/>
          <w:szCs w:val="19"/>
        </w:rPr>
        <w:t xml:space="preserve"> signa</w:t>
      </w:r>
      <w:r w:rsidR="004A4334" w:rsidRPr="00A43A5C">
        <w:rPr>
          <w:rFonts w:ascii="Arial" w:eastAsia="AdvOTea1a7398" w:hAnsi="Arial" w:cs="Arial"/>
          <w:color w:val="000000"/>
          <w:sz w:val="22"/>
          <w:szCs w:val="19"/>
        </w:rPr>
        <w:t xml:space="preserve">ling loop may overcome the adverse consequences of anti-IGF-1R </w:t>
      </w:r>
      <w:r w:rsidR="004A4334">
        <w:rPr>
          <w:rFonts w:ascii="Arial" w:eastAsia="AdvOTea1a7398" w:hAnsi="Arial" w:cs="Arial"/>
          <w:color w:val="000000"/>
          <w:sz w:val="22"/>
          <w:szCs w:val="19"/>
        </w:rPr>
        <w:t xml:space="preserve">mAb-based therapies. </w:t>
      </w:r>
    </w:p>
    <w:sectPr w:rsidR="000552E2" w:rsidSect="00D5287B"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D26" w:rsidRDefault="009C3D26" w:rsidP="00EC1CF7">
      <w:r>
        <w:separator/>
      </w:r>
    </w:p>
  </w:endnote>
  <w:endnote w:type="continuationSeparator" w:id="0">
    <w:p w:rsidR="009C3D26" w:rsidRDefault="009C3D26" w:rsidP="00EC1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AdvOTea1a7398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D26" w:rsidRDefault="009C3D26" w:rsidP="00EC1CF7">
      <w:r>
        <w:separator/>
      </w:r>
    </w:p>
  </w:footnote>
  <w:footnote w:type="continuationSeparator" w:id="0">
    <w:p w:rsidR="009C3D26" w:rsidRDefault="009C3D26" w:rsidP="00EC1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87B"/>
    <w:rsid w:val="000552E2"/>
    <w:rsid w:val="00103565"/>
    <w:rsid w:val="001613A8"/>
    <w:rsid w:val="002209AF"/>
    <w:rsid w:val="004A4334"/>
    <w:rsid w:val="004B08D7"/>
    <w:rsid w:val="004D1EE1"/>
    <w:rsid w:val="004F2153"/>
    <w:rsid w:val="00774551"/>
    <w:rsid w:val="007C75E6"/>
    <w:rsid w:val="008F48AB"/>
    <w:rsid w:val="009C3D26"/>
    <w:rsid w:val="00A43A5C"/>
    <w:rsid w:val="00AB6DB7"/>
    <w:rsid w:val="00C20FA0"/>
    <w:rsid w:val="00C91A3D"/>
    <w:rsid w:val="00D0408E"/>
    <w:rsid w:val="00D30957"/>
    <w:rsid w:val="00D5287B"/>
    <w:rsid w:val="00DB0A35"/>
    <w:rsid w:val="00EC1CF7"/>
    <w:rsid w:val="00EF7C42"/>
    <w:rsid w:val="00F30DA8"/>
    <w:rsid w:val="00F9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E5A56F-4E2A-404E-8161-E47DC07A8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87B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287B"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unhideWhenUsed/>
    <w:rsid w:val="00EC1CF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C1CF7"/>
    <w:rPr>
      <w:rFonts w:ascii="굴림" w:eastAsia="굴림" w:hAnsi="굴림" w:cs="굴림"/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EC1CF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C1CF7"/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민혜영</dc:creator>
  <cp:keywords/>
  <dc:description/>
  <cp:lastModifiedBy>이호영</cp:lastModifiedBy>
  <cp:revision>2</cp:revision>
  <dcterms:created xsi:type="dcterms:W3CDTF">2016-05-02T14:44:00Z</dcterms:created>
  <dcterms:modified xsi:type="dcterms:W3CDTF">2016-05-02T14:44:00Z</dcterms:modified>
</cp:coreProperties>
</file>