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6AB" w:rsidRPr="00722FC6" w:rsidRDefault="00722FC6" w:rsidP="00722FC6">
      <w:pPr>
        <w:jc w:val="center"/>
        <w:rPr>
          <w:rFonts w:hint="eastAsia"/>
          <w:sz w:val="40"/>
        </w:rPr>
      </w:pPr>
      <w:r w:rsidRPr="00722FC6">
        <w:rPr>
          <w:rFonts w:ascii="Arial" w:hAnsi="Arial" w:cs="Arial"/>
          <w:b/>
          <w:bCs/>
          <w:sz w:val="40"/>
          <w:szCs w:val="20"/>
        </w:rPr>
        <w:t>GFP: Lighting Up Life</w:t>
      </w:r>
    </w:p>
    <w:p w:rsidR="00722FC6" w:rsidRDefault="00722FC6">
      <w:pPr>
        <w:rPr>
          <w:rFonts w:ascii="Palatino Linotype" w:eastAsia="굴림" w:hAnsi="Palatino Linotype" w:cs="Times New Roman" w:hint="eastAsia"/>
          <w:kern w:val="0"/>
          <w:sz w:val="28"/>
          <w:szCs w:val="28"/>
        </w:rPr>
      </w:pPr>
      <w:r>
        <w:rPr>
          <w:rFonts w:ascii="Palatino Linotype" w:eastAsia="굴림" w:hAnsi="Palatino Linotype" w:cs="Times New Roman"/>
          <w:kern w:val="0"/>
          <w:sz w:val="28"/>
          <w:szCs w:val="28"/>
        </w:rPr>
        <w:t xml:space="preserve">Prof. Martin </w:t>
      </w:r>
      <w:proofErr w:type="spellStart"/>
      <w:r>
        <w:rPr>
          <w:rFonts w:ascii="Palatino Linotype" w:eastAsia="굴림" w:hAnsi="Palatino Linotype" w:cs="Times New Roman"/>
          <w:kern w:val="0"/>
          <w:sz w:val="28"/>
          <w:szCs w:val="28"/>
        </w:rPr>
        <w:t>Chalfie</w:t>
      </w:r>
      <w:proofErr w:type="spellEnd"/>
    </w:p>
    <w:p w:rsidR="00722FC6" w:rsidRDefault="00722FC6" w:rsidP="00722FC6">
      <w:pPr>
        <w:widowControl/>
        <w:wordWrap/>
        <w:autoSpaceDE/>
        <w:spacing w:line="250" w:lineRule="atLeast"/>
        <w:rPr>
          <w:rFonts w:ascii="Palatino Linotype" w:eastAsia="굴림" w:hAnsi="Palatino Linotype" w:cs="Times New Roman"/>
          <w:kern w:val="0"/>
          <w:sz w:val="28"/>
          <w:szCs w:val="28"/>
        </w:rPr>
      </w:pPr>
      <w:r>
        <w:rPr>
          <w:rFonts w:ascii="Palatino Linotype" w:eastAsia="굴림" w:hAnsi="Palatino Linotype" w:cs="Times New Roman"/>
          <w:kern w:val="0"/>
          <w:sz w:val="28"/>
          <w:szCs w:val="28"/>
        </w:rPr>
        <w:t>Columbia University, NY, USA (2008 Nobel Laureate in Chemistry for the discovery and development of the </w:t>
      </w:r>
      <w:hyperlink r:id="rId5" w:tgtFrame="_blank" w:tooltip="Green fluorescent protein" w:history="1">
        <w:r>
          <w:rPr>
            <w:rStyle w:val="a3"/>
            <w:rFonts w:ascii="Palatino Linotype" w:eastAsia="굴림" w:hAnsi="Palatino Linotype" w:cs="Times New Roman"/>
            <w:kern w:val="0"/>
            <w:sz w:val="28"/>
            <w:szCs w:val="28"/>
          </w:rPr>
          <w:t>green fluorescent protein</w:t>
        </w:r>
      </w:hyperlink>
      <w:r>
        <w:rPr>
          <w:rFonts w:ascii="Palatino Linotype" w:eastAsia="굴림" w:hAnsi="Palatino Linotype" w:cs="Times New Roman"/>
          <w:kern w:val="0"/>
          <w:sz w:val="28"/>
          <w:szCs w:val="28"/>
        </w:rPr>
        <w:t>, Shared with </w:t>
      </w:r>
      <w:hyperlink r:id="rId6" w:tgtFrame="_blank" w:tooltip="Osamu Shimomura" w:history="1">
        <w:r>
          <w:rPr>
            <w:rStyle w:val="a3"/>
            <w:rFonts w:ascii="Palatino Linotype" w:eastAsia="굴림" w:hAnsi="Palatino Linotype" w:cs="Times New Roman"/>
            <w:kern w:val="0"/>
            <w:sz w:val="28"/>
            <w:szCs w:val="28"/>
          </w:rPr>
          <w:t>Osamu Shimomura</w:t>
        </w:r>
      </w:hyperlink>
      <w:r>
        <w:rPr>
          <w:rFonts w:hint="eastAsia"/>
        </w:rPr>
        <w:t xml:space="preserve"> (</w:t>
      </w:r>
      <w:proofErr w:type="spellStart"/>
      <w:r>
        <w:rPr>
          <w:rFonts w:hint="eastAsia"/>
        </w:rPr>
        <w:t>오사무</w:t>
      </w:r>
      <w:proofErr w:type="spellEnd"/>
      <w:r>
        <w:rPr>
          <w:rFonts w:hint="eastAsia"/>
        </w:rPr>
        <w:t xml:space="preserve"> </w:t>
      </w:r>
      <w:proofErr w:type="spellStart"/>
      <w:r>
        <w:rPr>
          <w:rFonts w:hint="eastAsia"/>
        </w:rPr>
        <w:t>시모무라</w:t>
      </w:r>
      <w:proofErr w:type="spellEnd"/>
      <w:r>
        <w:rPr>
          <w:rFonts w:hint="eastAsia"/>
        </w:rPr>
        <w:t>)</w:t>
      </w:r>
      <w:r>
        <w:rPr>
          <w:rFonts w:ascii="Palatino Linotype" w:eastAsia="굴림" w:hAnsi="Palatino Linotype" w:cs="Times New Roman"/>
          <w:kern w:val="0"/>
          <w:sz w:val="28"/>
          <w:szCs w:val="28"/>
        </w:rPr>
        <w:t> and </w:t>
      </w:r>
      <w:hyperlink r:id="rId7" w:tgtFrame="_blank" w:tooltip="Roger Y. Tsien" w:history="1">
        <w:r>
          <w:rPr>
            <w:rStyle w:val="a3"/>
            <w:rFonts w:ascii="Palatino Linotype" w:eastAsia="굴림" w:hAnsi="Palatino Linotype" w:cs="Times New Roman"/>
            <w:kern w:val="0"/>
            <w:sz w:val="28"/>
            <w:szCs w:val="28"/>
          </w:rPr>
          <w:t>Roger Y. Tsien</w:t>
        </w:r>
      </w:hyperlink>
      <w:r>
        <w:rPr>
          <w:rFonts w:hint="eastAsia"/>
        </w:rPr>
        <w:t xml:space="preserve"> (</w:t>
      </w:r>
      <w:proofErr w:type="spellStart"/>
      <w:r>
        <w:rPr>
          <w:rFonts w:hint="eastAsia"/>
        </w:rPr>
        <w:t>로져</w:t>
      </w:r>
      <w:proofErr w:type="spellEnd"/>
      <w:r>
        <w:rPr>
          <w:rFonts w:hint="eastAsia"/>
        </w:rPr>
        <w:t xml:space="preserve"> 챈)</w:t>
      </w:r>
      <w:r>
        <w:rPr>
          <w:rFonts w:ascii="Palatino Linotype" w:eastAsia="굴림" w:hAnsi="Palatino Linotype" w:cs="Times New Roman"/>
          <w:kern w:val="0"/>
          <w:sz w:val="28"/>
          <w:szCs w:val="28"/>
        </w:rPr>
        <w:t>)</w:t>
      </w:r>
    </w:p>
    <w:p w:rsidR="00722FC6" w:rsidRPr="00722FC6" w:rsidRDefault="00722FC6">
      <w:pPr>
        <w:rPr>
          <w:rFonts w:hint="eastAsia"/>
        </w:rPr>
      </w:pPr>
    </w:p>
    <w:p w:rsidR="00722FC6" w:rsidRPr="00722FC6" w:rsidRDefault="00722FC6" w:rsidP="00722FC6">
      <w:pPr>
        <w:ind w:firstLineChars="100" w:firstLine="240"/>
        <w:rPr>
          <w:sz w:val="24"/>
        </w:rPr>
      </w:pPr>
      <w:r w:rsidRPr="00722FC6">
        <w:rPr>
          <w:rFonts w:ascii="Arial" w:hAnsi="Arial" w:cs="Arial"/>
          <w:sz w:val="24"/>
          <w:szCs w:val="20"/>
        </w:rPr>
        <w:t xml:space="preserve">The great American baseball player Yogi Berra once said, “You can observe a lot by watching.”  Unfortunately, before the early 1990s observations in the biological sciences were usually done on dead specimens that were specially prepared and </w:t>
      </w:r>
      <w:proofErr w:type="spellStart"/>
      <w:r w:rsidRPr="00722FC6">
        <w:rPr>
          <w:rFonts w:ascii="Arial" w:hAnsi="Arial" w:cs="Arial"/>
          <w:sz w:val="24"/>
          <w:szCs w:val="20"/>
        </w:rPr>
        <w:t>permeabilized</w:t>
      </w:r>
      <w:proofErr w:type="spellEnd"/>
      <w:r w:rsidRPr="00722FC6">
        <w:rPr>
          <w:rFonts w:ascii="Arial" w:hAnsi="Arial" w:cs="Arial"/>
          <w:sz w:val="24"/>
          <w:szCs w:val="20"/>
        </w:rPr>
        <w:t xml:space="preserve"> to allow entry of reagents to stain cell components.  These methods allowed a glimpse of what cells were doing, but they gave a necessarily static view of life, just snapshots in time.  GFP and other fluorescent proteins revolutionized the biological sciences because these proteins allowed scientists to look at the inner workings of living cells.  GFP can be used to </w:t>
      </w:r>
      <w:bookmarkStart w:id="0" w:name="_GoBack"/>
      <w:bookmarkEnd w:id="0"/>
      <w:r w:rsidRPr="00722FC6">
        <w:rPr>
          <w:rFonts w:ascii="Arial" w:hAnsi="Arial" w:cs="Arial"/>
          <w:sz w:val="24"/>
          <w:szCs w:val="20"/>
        </w:rPr>
        <w:t>tell where genes are turned on, where proteins are located within tissues, and how cell activities change over time.  Once a cell can be seen, it can be studied and manipulated.  The story of the discovery and development of GFP also provides a very nice example of how scientific progress is often made:  through accidental discoveries, the willingness to ignore previous assumptions and take chances, and the combined efforts of many people. The story of GFP also shows the importance of basic research on non-traditional organisms for the development of new tools and new applications.</w:t>
      </w:r>
    </w:p>
    <w:sectPr w:rsidR="00722FC6" w:rsidRPr="00722FC6">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FC6"/>
    <w:rsid w:val="00512C86"/>
    <w:rsid w:val="00713B17"/>
    <w:rsid w:val="00722FC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2F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2F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Roger_Y._Tsie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n.wikipedia.org/wiki/Osamu_Shimomura" TargetMode="External"/><Relationship Id="rId5" Type="http://schemas.openxmlformats.org/officeDocument/2006/relationships/hyperlink" Target="https://en.wikipedia.org/wiki/Green_fluorescent_prote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1496</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2015-11-04T08:14:00Z</dcterms:created>
  <dcterms:modified xsi:type="dcterms:W3CDTF">2015-11-04T08:17:00Z</dcterms:modified>
</cp:coreProperties>
</file>